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CD2D63"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77C3584B" w:rsidR="00CD36CF" w:rsidRDefault="00CD2D63"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CC347F">
        <w:t xml:space="preserve"> 711</w:t>
      </w:r>
    </w:p>
    <w:p w14:paraId="7690D66A" w14:textId="2FAEE3D4"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FB3EB2">
            <w:t>Senators Rucker, Roberts, Azinger, Beach, Boley, Clements, Grady, Plymale, Romano, Stollings, Trump, and Unger</w:t>
          </w:r>
        </w:sdtContent>
      </w:sdt>
    </w:p>
    <w:p w14:paraId="2D7E9B04" w14:textId="7EE125C9"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B37B99">
            <w:t>Education</w:t>
          </w:r>
        </w:sdtContent>
      </w:sdt>
      <w:r w:rsidR="00E379D8">
        <w:t xml:space="preserve">; </w:t>
      </w:r>
      <w:r w:rsidR="00CC347F">
        <w:t>r</w:t>
      </w:r>
      <w:r w:rsidR="00E379D8">
        <w:t xml:space="preserve">eported on </w:t>
      </w:r>
      <w:sdt>
        <w:sdtPr>
          <w:id w:val="-566653316"/>
          <w:placeholder>
            <w:docPart w:val="BA8DE9CC9D1E448695B73576D8B117A1"/>
          </w:placeholder>
          <w:text/>
        </w:sdtPr>
        <w:sdtEndPr/>
        <w:sdtContent>
          <w:r w:rsidR="00B37B99">
            <w:t>March 2</w:t>
          </w:r>
          <w:r w:rsidR="00CC347F">
            <w:t>4</w:t>
          </w:r>
          <w:r w:rsidR="00B37B99">
            <w:t>, 2021</w:t>
          </w:r>
        </w:sdtContent>
      </w:sdt>
      <w:r>
        <w:t>]</w:t>
      </w:r>
    </w:p>
    <w:p w14:paraId="6D0DC1B1" w14:textId="4CF35261" w:rsidR="00303684" w:rsidRDefault="0000526A" w:rsidP="00F35C12">
      <w:pPr>
        <w:pStyle w:val="TitleSection"/>
      </w:pPr>
      <w:r>
        <w:lastRenderedPageBreak/>
        <w:t>A BILL</w:t>
      </w:r>
      <w:r w:rsidR="00B37B99">
        <w:t xml:space="preserve"> to amend and reenact §18-9A-2 of the Code of West Virginia, 1931, as amended, relating to the school aid formula</w:t>
      </w:r>
      <w:r w:rsidR="00CD2D63">
        <w:t>;</w:t>
      </w:r>
      <w:r w:rsidR="00B37B99">
        <w:t xml:space="preserve"> and changing the minimum enrollment to 1,200 students in each county. </w:t>
      </w:r>
    </w:p>
    <w:p w14:paraId="13948E8C" w14:textId="77777777" w:rsidR="00303684" w:rsidRDefault="00303684" w:rsidP="00F35C12">
      <w:pPr>
        <w:pStyle w:val="EnactingClause"/>
      </w:pPr>
      <w:r>
        <w:t>Be it enacted by the Legislature of West Virginia:</w:t>
      </w:r>
    </w:p>
    <w:p w14:paraId="2F27EA70" w14:textId="77777777" w:rsidR="00B37B99" w:rsidRDefault="00B37B99" w:rsidP="00F35C12">
      <w:pPr>
        <w:pStyle w:val="EnactingClause"/>
        <w:rPr>
          <w:b/>
          <w:bCs/>
          <w:i w:val="0"/>
          <w:iCs/>
        </w:rPr>
      </w:pPr>
      <w:r>
        <w:t xml:space="preserve"> </w:t>
      </w:r>
      <w:r>
        <w:rPr>
          <w:b/>
          <w:bCs/>
          <w:i w:val="0"/>
          <w:iCs/>
        </w:rPr>
        <w:t xml:space="preserve">ARTICLE 9A. PUBLIC SCHOOL SUPPORT. </w:t>
      </w:r>
    </w:p>
    <w:p w14:paraId="75F29259" w14:textId="77777777" w:rsidR="00B37B99" w:rsidRPr="00B37B99" w:rsidRDefault="00B37B99" w:rsidP="00B37B99">
      <w:pPr>
        <w:suppressLineNumbers/>
        <w:ind w:left="720" w:hanging="720"/>
        <w:jc w:val="both"/>
        <w:outlineLvl w:val="3"/>
        <w:rPr>
          <w:rFonts w:eastAsia="Calibri" w:cs="Times New Roman"/>
          <w:b/>
          <w:color w:val="000000"/>
        </w:rPr>
      </w:pPr>
      <w:r w:rsidRPr="00B37B99">
        <w:rPr>
          <w:rFonts w:eastAsia="Calibri" w:cs="Times New Roman"/>
          <w:b/>
          <w:color w:val="000000"/>
        </w:rPr>
        <w:t>§18-9A-2. Definitions.</w:t>
      </w:r>
    </w:p>
    <w:p w14:paraId="75E54FBF" w14:textId="77777777" w:rsidR="00B37B99" w:rsidRPr="00B37B99" w:rsidRDefault="00B37B99" w:rsidP="00B37B99">
      <w:pPr>
        <w:ind w:firstLine="720"/>
        <w:jc w:val="both"/>
        <w:rPr>
          <w:rFonts w:eastAsia="Calibri" w:cs="Times New Roman"/>
          <w:color w:val="000000"/>
        </w:rPr>
        <w:sectPr w:rsidR="00B37B99" w:rsidRPr="00B37B99" w:rsidSect="0062229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360"/>
        </w:sectPr>
      </w:pPr>
    </w:p>
    <w:p w14:paraId="7931567B"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For the purpose of this article:</w:t>
      </w:r>
    </w:p>
    <w:p w14:paraId="74CFB5E0"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(a) “State board” means the West Virginia Board of Education.</w:t>
      </w:r>
    </w:p>
    <w:p w14:paraId="5F8142B1"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(b) “County board” or “board” means a county board of education.</w:t>
      </w:r>
    </w:p>
    <w:p w14:paraId="7CE864ED"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(c) “Professional salaries” means the state legally mandated salaries of the professional educators as provided in </w:t>
      </w:r>
      <w:r w:rsidRPr="00B37B99">
        <w:rPr>
          <w:rFonts w:eastAsia="Calibri" w:cs="Times New Roman"/>
          <w:color w:val="auto"/>
        </w:rPr>
        <w:t>§18A-4-1</w:t>
      </w:r>
      <w:r w:rsidRPr="00B37B99">
        <w:rPr>
          <w:rFonts w:eastAsia="Calibri" w:cs="Times New Roman"/>
          <w:color w:val="000000"/>
        </w:rPr>
        <w:t> </w:t>
      </w:r>
      <w:r w:rsidRPr="00B37B99">
        <w:rPr>
          <w:rFonts w:eastAsia="Calibri" w:cs="Times New Roman"/>
          <w:i/>
          <w:color w:val="000000"/>
        </w:rPr>
        <w:t>et seq. </w:t>
      </w:r>
      <w:r w:rsidRPr="00B37B99">
        <w:rPr>
          <w:rFonts w:eastAsia="Calibri" w:cs="Times New Roman"/>
          <w:color w:val="000000"/>
        </w:rPr>
        <w:t>of this code.</w:t>
      </w:r>
    </w:p>
    <w:p w14:paraId="7A74D620"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(d) “Professional educator” shall be synonymous with and shall have the same meaning as “teacher” as defined in </w:t>
      </w:r>
      <w:r w:rsidRPr="00B37B99">
        <w:rPr>
          <w:rFonts w:eastAsia="Calibri" w:cs="Times New Roman"/>
          <w:color w:val="auto"/>
        </w:rPr>
        <w:t>§18-1-1</w:t>
      </w:r>
      <w:r w:rsidRPr="00B37B99">
        <w:rPr>
          <w:rFonts w:eastAsia="Calibri" w:cs="Times New Roman"/>
          <w:color w:val="000000"/>
        </w:rPr>
        <w:t xml:space="preserve"> of this </w:t>
      </w:r>
      <w:proofErr w:type="gramStart"/>
      <w:r w:rsidRPr="00B37B99">
        <w:rPr>
          <w:rFonts w:eastAsia="Calibri" w:cs="Times New Roman"/>
          <w:color w:val="000000"/>
        </w:rPr>
        <w:t>code, and</w:t>
      </w:r>
      <w:proofErr w:type="gramEnd"/>
      <w:r w:rsidRPr="00B37B99">
        <w:rPr>
          <w:rFonts w:eastAsia="Calibri" w:cs="Times New Roman"/>
          <w:color w:val="000000"/>
        </w:rPr>
        <w:t xml:space="preserve"> includes technology integration specialists.</w:t>
      </w:r>
    </w:p>
    <w:p w14:paraId="6F47778B"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(e) “Professional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23C1FB52"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(f) “Professional student support personnel” means a “teacher” as defined in </w:t>
      </w:r>
      <w:r w:rsidRPr="00B37B99">
        <w:rPr>
          <w:rFonts w:eastAsia="Calibri" w:cs="Times New Roman"/>
          <w:color w:val="auto"/>
        </w:rPr>
        <w:t>§18-1-1</w:t>
      </w:r>
      <w:r w:rsidRPr="00B37B99">
        <w:rPr>
          <w:rFonts w:eastAsia="Calibri" w:cs="Times New Roman"/>
          <w:color w:val="000000"/>
        </w:rPr>
        <w:t xml:space="preserve">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w:t>
      </w:r>
      <w:r w:rsidRPr="00B37B99">
        <w:rPr>
          <w:rFonts w:eastAsia="Calibri" w:cs="Times New Roman"/>
          <w:color w:val="000000"/>
        </w:rPr>
        <w:lastRenderedPageBreak/>
        <w:t>determination of the allowance for professional educators pursuant to §18-9A-4 of this code, professional student support personnel are professional educators.</w:t>
      </w:r>
    </w:p>
    <w:p w14:paraId="63D33AF3"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(g) “Service personnel salaries” means the state legally mandated salaries for service personnel as provided in </w:t>
      </w:r>
      <w:r w:rsidRPr="00B37B99">
        <w:rPr>
          <w:rFonts w:eastAsia="Calibri" w:cs="Times New Roman"/>
          <w:color w:val="auto"/>
        </w:rPr>
        <w:t>§18A-4-8a</w:t>
      </w:r>
      <w:r w:rsidRPr="00B37B99">
        <w:rPr>
          <w:rFonts w:eastAsia="Calibri" w:cs="Times New Roman"/>
          <w:color w:val="000000"/>
        </w:rPr>
        <w:t> of this code.</w:t>
      </w:r>
    </w:p>
    <w:p w14:paraId="39896507"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(h) “Service personnel” means all personnel as provided in</w:t>
      </w:r>
      <w:r w:rsidRPr="00B37B99">
        <w:rPr>
          <w:rFonts w:eastAsia="Calibri" w:cs="Times New Roman"/>
          <w:color w:val="auto"/>
        </w:rPr>
        <w:t> §18A-4-8</w:t>
      </w:r>
      <w:r w:rsidRPr="00B37B99">
        <w:rPr>
          <w:rFonts w:eastAsia="Calibri" w:cs="Times New Roman"/>
          <w:color w:val="000000"/>
        </w:rPr>
        <w:t> of this code. For the purpose of computations under this article of ratios of service personnel to net enrollment, a service employee shall be counted as that number found by dividing his or her number of employment days in a fiscal year by 200: </w:t>
      </w:r>
      <w:r w:rsidRPr="00B37B99">
        <w:rPr>
          <w:rFonts w:eastAsia="Calibri" w:cs="Times New Roman"/>
          <w:i/>
          <w:iCs/>
          <w:color w:val="000000"/>
        </w:rPr>
        <w:t>Provided</w:t>
      </w:r>
      <w:r w:rsidRPr="00B37B99">
        <w:rPr>
          <w:rFonts w:eastAsia="Calibri" w:cs="Times New Roman"/>
          <w:color w:val="000000"/>
        </w:rPr>
        <w:t>, That the computation for any service person employed for three and one-half hours or fewer per day as provided in </w:t>
      </w:r>
      <w:r w:rsidRPr="00B37B99">
        <w:rPr>
          <w:rFonts w:eastAsia="Calibri" w:cs="Times New Roman"/>
          <w:color w:val="auto"/>
        </w:rPr>
        <w:t>§18A-4-8a</w:t>
      </w:r>
      <w:r w:rsidRPr="00B37B99">
        <w:rPr>
          <w:rFonts w:eastAsia="Calibri" w:cs="Times New Roman"/>
          <w:color w:val="000000"/>
        </w:rPr>
        <w:t> of this code shall be calculated as one-half an employment day.</w:t>
      </w:r>
    </w:p>
    <w:p w14:paraId="66F594D5"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(i) “Net enrollment” means the number of pupils enrolled in special education programs, kindergarten programs, and grades one to 12, inclusive, of the public schools of the county. Net enrollment further shall include:</w:t>
      </w:r>
    </w:p>
    <w:p w14:paraId="765BA0AB"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 xml:space="preserve">(1) Adults enrolled in vocational programs: </w:t>
      </w:r>
      <w:r w:rsidRPr="00B37B99">
        <w:rPr>
          <w:rFonts w:eastAsia="Calibri" w:cs="Times New Roman"/>
          <w:i/>
          <w:iCs/>
          <w:color w:val="000000"/>
        </w:rPr>
        <w:t xml:space="preserve">Provided, </w:t>
      </w:r>
      <w:r w:rsidRPr="00B37B99">
        <w:rPr>
          <w:rFonts w:eastAsia="Calibri" w:cs="Times New Roman"/>
          <w:color w:val="000000"/>
        </w:rPr>
        <w:t>That  net enrollment includes no more than 2,500 of those adults counted on the basis of full-time equivalency and apportioned annually to each county to support Advanced Career Education programs, as provided in </w:t>
      </w:r>
      <w:r w:rsidRPr="00B37B99">
        <w:rPr>
          <w:rFonts w:eastAsia="Calibri" w:cs="Times New Roman"/>
          <w:color w:val="auto"/>
        </w:rPr>
        <w:t>§18-2E-11</w:t>
      </w:r>
      <w:r w:rsidRPr="00B37B99">
        <w:rPr>
          <w:rFonts w:eastAsia="Calibri" w:cs="Times New Roman"/>
          <w:color w:val="000000"/>
        </w:rPr>
        <w:t> of this code, in proportion to the adults participating in vocational programs counted on the basis of full-time equivalency</w:t>
      </w:r>
      <w:r w:rsidRPr="00B37B99">
        <w:rPr>
          <w:rFonts w:eastAsia="Calibri" w:cs="Times New Roman"/>
          <w:i/>
          <w:iCs/>
          <w:color w:val="000000"/>
        </w:rPr>
        <w:t>: Provided further,</w:t>
      </w:r>
      <w:r w:rsidRPr="00B37B99">
        <w:rPr>
          <w:rFonts w:eastAsia="Calibri" w:cs="Times New Roman"/>
          <w:color w:val="000000"/>
        </w:rPr>
        <w:t xml:space="preserve"> That beginning with the 2021 fiscal year and every year thereafter, a career technical education center may only receive the funding for enrollment as authorized by this paragraph if the center has satisfied the requirements of </w:t>
      </w:r>
      <w:r w:rsidRPr="00B37B99">
        <w:rPr>
          <w:rFonts w:eastAsia="Calibri" w:cs="Times New Roman"/>
          <w:color w:val="auto"/>
        </w:rPr>
        <w:t>§18-2E-11</w:t>
      </w:r>
      <w:r w:rsidRPr="00B37B99">
        <w:rPr>
          <w:rFonts w:eastAsia="Calibri" w:cs="Times New Roman"/>
          <w:color w:val="000000"/>
        </w:rPr>
        <w:t xml:space="preserve"> of this code; </w:t>
      </w:r>
    </w:p>
    <w:p w14:paraId="342FB28A"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 xml:space="preserve"> (2) Students enrolled in early childhood education programs as provided in </w:t>
      </w:r>
      <w:r w:rsidRPr="00B37B99">
        <w:rPr>
          <w:rFonts w:eastAsia="Calibri" w:cs="Times New Roman"/>
          <w:color w:val="auto"/>
        </w:rPr>
        <w:t>§18-5-44</w:t>
      </w:r>
      <w:r w:rsidRPr="00B37B99">
        <w:rPr>
          <w:rFonts w:eastAsia="Calibri" w:cs="Times New Roman"/>
          <w:color w:val="000000"/>
        </w:rPr>
        <w:t> of this code, counted on the basis of full-time equivalency;</w:t>
      </w:r>
    </w:p>
    <w:p w14:paraId="24E119B2"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(3) A pupil may not be counted more than once by reason of transfer within the county or from another county within the state, and a pupil may not be counted who attends school in this state from another state;</w:t>
      </w:r>
    </w:p>
    <w:p w14:paraId="6AA39907" w14:textId="77777777"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color w:val="000000"/>
        </w:rPr>
        <w:lastRenderedPageBreak/>
        <w:t>(4) The enrollment shall be modified to the equivalent of the instructional term and in accordance with the eligibility requirements and rules established by the state board; and</w:t>
      </w:r>
    </w:p>
    <w:p w14:paraId="213299CE" w14:textId="77777777"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color w:val="000000"/>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2D433BC5" w14:textId="77777777"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color w:val="000000"/>
        </w:rPr>
        <w:t>(A) Divide the state’s lowest county student population density by the county’s actual student population density;</w:t>
      </w:r>
    </w:p>
    <w:p w14:paraId="0758B66F" w14:textId="77777777"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color w:val="000000"/>
        </w:rPr>
        <w:t>(B) Multiply the amount derived from the calculation in </w:t>
      </w:r>
      <w:r w:rsidRPr="00B37B99">
        <w:rPr>
          <w:rFonts w:eastAsia="Calibri" w:cs="Times New Roman"/>
          <w:color w:val="auto"/>
        </w:rPr>
        <w:t>§18-9A-2</w:t>
      </w:r>
      <w:r w:rsidRPr="00B37B99">
        <w:rPr>
          <w:rFonts w:eastAsia="Calibri" w:cs="Times New Roman"/>
          <w:color w:val="000000"/>
        </w:rPr>
        <w:t>(i)(5)(A) of this code by the difference between 1,400 and the county’s actual net enrollment;</w:t>
      </w:r>
    </w:p>
    <w:p w14:paraId="715B66D6" w14:textId="77777777" w:rsidR="00B37B99" w:rsidRPr="00B37B99" w:rsidRDefault="00B37B99" w:rsidP="00B37B99">
      <w:pPr>
        <w:spacing w:line="456" w:lineRule="auto"/>
        <w:ind w:firstLine="720"/>
        <w:jc w:val="both"/>
        <w:rPr>
          <w:rFonts w:eastAsia="Calibri" w:cs="Times New Roman"/>
          <w:color w:val="auto"/>
        </w:rPr>
      </w:pPr>
      <w:r w:rsidRPr="00B37B99">
        <w:rPr>
          <w:rFonts w:eastAsia="Calibri" w:cs="Times New Roman"/>
          <w:color w:val="auto"/>
        </w:rPr>
        <w:t>(C) Add the amount derived from the calculation in paragraph (B) of this subdivision to the county’s actual net enrollment and increase that total amount by 10 percent; and</w:t>
      </w:r>
    </w:p>
    <w:p w14:paraId="5A850784" w14:textId="1FEF4186" w:rsidR="00B37B99" w:rsidRDefault="00B37B99" w:rsidP="00B37B99">
      <w:pPr>
        <w:spacing w:line="456" w:lineRule="auto"/>
        <w:ind w:firstLine="720"/>
        <w:jc w:val="both"/>
        <w:rPr>
          <w:rFonts w:eastAsia="Calibri" w:cs="Times New Roman"/>
          <w:strike/>
          <w:color w:val="auto"/>
        </w:rPr>
      </w:pPr>
      <w:r w:rsidRPr="00B37B99">
        <w:rPr>
          <w:rFonts w:eastAsia="Calibri" w:cs="Times New Roman"/>
          <w:color w:val="auto"/>
        </w:rPr>
        <w:t xml:space="preserve">(D) If the net enrollment as determined under this subdivision is greater than 1,400, the calculated net enrollment shall be reduced to 1,400; </w:t>
      </w:r>
      <w:r w:rsidRPr="00B37B99">
        <w:rPr>
          <w:rFonts w:eastAsia="Calibri" w:cs="Times New Roman"/>
          <w:strike/>
          <w:color w:val="auto"/>
        </w:rPr>
        <w:t>and</w:t>
      </w:r>
    </w:p>
    <w:p w14:paraId="38B16502" w14:textId="03F9B329" w:rsidR="00B37B99" w:rsidRPr="00B37B99" w:rsidRDefault="00B37B99" w:rsidP="00B37B99">
      <w:pPr>
        <w:spacing w:line="456" w:lineRule="auto"/>
        <w:ind w:firstLine="720"/>
        <w:jc w:val="both"/>
        <w:rPr>
          <w:rFonts w:eastAsia="Calibri" w:cs="Times New Roman"/>
          <w:color w:val="auto"/>
          <w:u w:val="single"/>
        </w:rPr>
      </w:pPr>
      <w:r>
        <w:rPr>
          <w:rFonts w:eastAsia="Calibri" w:cs="Times New Roman"/>
          <w:color w:val="auto"/>
          <w:u w:val="single"/>
        </w:rPr>
        <w:t>(E) In no event shall the net enrollment be set below 1,200; and</w:t>
      </w:r>
    </w:p>
    <w:p w14:paraId="3C7E42D2" w14:textId="3A3B5D20"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strike/>
          <w:color w:val="auto"/>
        </w:rPr>
        <w:t>(E)</w:t>
      </w:r>
      <w:r w:rsidRPr="00B37B99">
        <w:rPr>
          <w:rFonts w:eastAsia="Calibri" w:cs="Times New Roman"/>
          <w:color w:val="auto"/>
        </w:rPr>
        <w:t xml:space="preserve"> </w:t>
      </w:r>
      <w:r>
        <w:rPr>
          <w:rFonts w:eastAsia="Calibri" w:cs="Times New Roman"/>
          <w:color w:val="auto"/>
        </w:rPr>
        <w:t xml:space="preserve">(F) </w:t>
      </w:r>
      <w:r w:rsidRPr="00B37B99">
        <w:rPr>
          <w:rFonts w:eastAsia="Calibri" w:cs="Times New Roman"/>
          <w:color w:val="auto"/>
        </w:rPr>
        <w:t>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p>
    <w:p w14:paraId="52D65365" w14:textId="77777777"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color w:val="000000"/>
        </w:rPr>
        <w:t>(j) “Sparse-density county” means a county whose ratio of net enrollment, excluding any increase in the net enrollment of counties, pursuant to </w:t>
      </w:r>
      <w:bookmarkStart w:id="0" w:name="_Hlk503367577"/>
      <w:r w:rsidRPr="00B37B99">
        <w:rPr>
          <w:rFonts w:eastAsia="Calibri" w:cs="Times New Roman"/>
          <w:color w:val="000000"/>
        </w:rPr>
        <w:t>§</w:t>
      </w:r>
      <w:bookmarkEnd w:id="0"/>
      <w:r w:rsidRPr="00B37B99">
        <w:rPr>
          <w:rFonts w:eastAsia="Calibri" w:cs="Times New Roman"/>
          <w:color w:val="000000"/>
        </w:rPr>
        <w:t>18-9A-2(i)(5) of this code, of the definition of “net enrollment”, to the square miles of the county is less than five.</w:t>
      </w:r>
    </w:p>
    <w:p w14:paraId="034A331F" w14:textId="77777777" w:rsidR="00B37B99" w:rsidRPr="00B37B99" w:rsidRDefault="00B37B99" w:rsidP="00B37B99">
      <w:pPr>
        <w:spacing w:line="456" w:lineRule="auto"/>
        <w:ind w:firstLine="720"/>
        <w:jc w:val="both"/>
        <w:rPr>
          <w:rFonts w:eastAsia="Calibri" w:cs="Times New Roman"/>
          <w:color w:val="000000"/>
        </w:rPr>
      </w:pPr>
      <w:r w:rsidRPr="00B37B99">
        <w:rPr>
          <w:rFonts w:eastAsia="Calibri" w:cs="Times New Roman"/>
          <w:color w:val="000000"/>
        </w:rPr>
        <w:t>(k) “Low-density county” means a county whose ratio of net enrollment, excluding any increase in the net enrollment of counties, pursuant to §18-9A-2(i)(5) of this code, of the definition of “net enrollment”, to the square miles of the county is equal to or greater than five but less than 10.</w:t>
      </w:r>
    </w:p>
    <w:p w14:paraId="5097CF2D"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lastRenderedPageBreak/>
        <w:t>(l) “Medium-density county” means a county whose ratio of net enrollment, excluding any increase in the net enrollment of counties, pursuant to §18-9A-2(i)(5) of this code, of the definition of “net enrollment”, to the square miles of the county is equal to or greater than 10 but less than 20.</w:t>
      </w:r>
    </w:p>
    <w:p w14:paraId="6AF3E3EA"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(m) “High-density county” means a county whose ratio of net enrollment, excluding any increase in the net enrollment of counties, pursuant to §18-9A-2(i)(5) of this code, of the definition of “net enrollment”, to the square miles of the county is equal to or greater than 20.</w:t>
      </w:r>
    </w:p>
    <w:p w14:paraId="297B6E70" w14:textId="1954CBF0" w:rsidR="00B37B99" w:rsidRPr="00B37B99" w:rsidRDefault="00B37B99" w:rsidP="00B37B99">
      <w:pPr>
        <w:ind w:firstLine="720"/>
        <w:jc w:val="both"/>
        <w:rPr>
          <w:rFonts w:eastAsia="Calibri" w:cs="Times New Roman"/>
          <w:color w:val="auto"/>
        </w:rPr>
      </w:pPr>
      <w:r w:rsidRPr="00B37B99">
        <w:rPr>
          <w:rFonts w:eastAsia="Calibri" w:cs="Times New Roman"/>
          <w:color w:val="auto"/>
        </w:rPr>
        <w:t>(n) “Levies for general current expense purposes” means 85 percent of the levy rate for county boards of education calculated or set by the Legislature pursuant to §11-8-6f of this code.</w:t>
      </w:r>
    </w:p>
    <w:p w14:paraId="7F487DD9"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 xml:space="preserve"> (o) “Technology integration specialist” means a professional educator who has expertise in the technology field and is assigned as a resource teacher to provide information and guidance to classroom teachers on the integration of technology into the curriculum.</w:t>
      </w:r>
    </w:p>
    <w:p w14:paraId="1B10F2C2" w14:textId="77777777" w:rsidR="00B37B99" w:rsidRPr="00B37B99" w:rsidRDefault="00B37B99" w:rsidP="00B37B99">
      <w:pPr>
        <w:ind w:firstLine="720"/>
        <w:jc w:val="both"/>
        <w:rPr>
          <w:rFonts w:eastAsia="Calibri" w:cs="Times New Roman"/>
          <w:color w:val="000000"/>
        </w:rPr>
      </w:pPr>
      <w:r w:rsidRPr="00B37B99">
        <w:rPr>
          <w:rFonts w:eastAsia="Calibri" w:cs="Times New Roman"/>
          <w:color w:val="000000"/>
        </w:rPr>
        <w:t>(p) “State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44B0DD2F" w14:textId="49ACF66F" w:rsidR="008736AA" w:rsidRPr="00B37B99" w:rsidRDefault="00B37B99" w:rsidP="00B37B99">
      <w:pPr>
        <w:ind w:firstLine="720"/>
        <w:jc w:val="both"/>
        <w:rPr>
          <w:rFonts w:eastAsia="Calibri" w:cs="Times New Roman"/>
          <w:color w:val="auto"/>
        </w:rPr>
      </w:pPr>
      <w:r w:rsidRPr="00B37B99">
        <w:rPr>
          <w:rFonts w:eastAsia="Calibri" w:cs="Times New Roman"/>
          <w:color w:val="auto"/>
        </w:rPr>
        <w:t>(q) 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502233C2" w14:textId="77777777" w:rsidR="00C33014" w:rsidRDefault="00C33014" w:rsidP="00F35C12">
      <w:pPr>
        <w:pStyle w:val="Note"/>
      </w:pPr>
    </w:p>
    <w:p w14:paraId="4B287198" w14:textId="3DEAD2B9" w:rsidR="006865E9" w:rsidRDefault="00CF1DCA" w:rsidP="00F35C12">
      <w:pPr>
        <w:pStyle w:val="Note"/>
      </w:pPr>
      <w:r>
        <w:t>NOTE: The</w:t>
      </w:r>
      <w:r w:rsidR="006865E9">
        <w:t xml:space="preserve"> purpose of this bill is to</w:t>
      </w:r>
      <w:r w:rsidR="00B37B99">
        <w:t xml:space="preserve"> prohibit the net enrollment be set below 1,200 students</w:t>
      </w:r>
      <w:r w:rsidR="006865E9">
        <w:t>.</w:t>
      </w:r>
    </w:p>
    <w:p w14:paraId="699A9F12" w14:textId="77777777" w:rsidR="006865E9" w:rsidRPr="00303684" w:rsidRDefault="00AE48A0" w:rsidP="00F35C12">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01D68" w14:textId="77777777" w:rsidR="003B48FB" w:rsidRPr="00B844FE" w:rsidRDefault="003B48FB" w:rsidP="00B844FE">
      <w:r>
        <w:separator/>
      </w:r>
    </w:p>
  </w:endnote>
  <w:endnote w:type="continuationSeparator" w:id="0">
    <w:p w14:paraId="4017C07B" w14:textId="77777777" w:rsidR="003B48FB" w:rsidRPr="00B844FE" w:rsidRDefault="003B48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570F7" w14:textId="77777777" w:rsidR="00B37B99" w:rsidRDefault="00B37B99"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DB888D" w14:textId="77777777" w:rsidR="00B37B99" w:rsidRPr="00565CF8" w:rsidRDefault="00B37B99" w:rsidP="0048186E">
    <w:pPr>
      <w:pStyle w:val="Footer"/>
    </w:pPr>
  </w:p>
  <w:p w14:paraId="41125460" w14:textId="77777777" w:rsidR="00B37B99" w:rsidRDefault="00B37B99"/>
  <w:p w14:paraId="773BC7D4" w14:textId="77777777" w:rsidR="00B37B99" w:rsidRDefault="00B37B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241077"/>
      <w:docPartObj>
        <w:docPartGallery w:val="Page Numbers (Bottom of Page)"/>
        <w:docPartUnique/>
      </w:docPartObj>
    </w:sdtPr>
    <w:sdtEndPr>
      <w:rPr>
        <w:noProof/>
      </w:rPr>
    </w:sdtEndPr>
    <w:sdtContent>
      <w:p w14:paraId="4BA5ED1F" w14:textId="4049BD58" w:rsidR="0062229A" w:rsidRDefault="006222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0433F" w14:textId="77777777" w:rsidR="00B37B99" w:rsidRPr="00623E0A" w:rsidRDefault="00B37B99"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D4702" w14:textId="77777777" w:rsidR="003B48FB" w:rsidRPr="00B844FE" w:rsidRDefault="003B48FB" w:rsidP="00B844FE">
      <w:r>
        <w:separator/>
      </w:r>
    </w:p>
  </w:footnote>
  <w:footnote w:type="continuationSeparator" w:id="0">
    <w:p w14:paraId="0F3896B5" w14:textId="77777777" w:rsidR="003B48FB" w:rsidRPr="00B844FE" w:rsidRDefault="003B48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E5CA" w14:textId="77777777" w:rsidR="00B37B99" w:rsidRPr="00565CF8" w:rsidRDefault="00B37B99" w:rsidP="0048186E">
    <w:pPr>
      <w:pStyle w:val="Header"/>
    </w:pPr>
    <w:r>
      <w:t>CS for SB 451</w:t>
    </w:r>
  </w:p>
  <w:p w14:paraId="61387A7B" w14:textId="77777777" w:rsidR="00B37B99" w:rsidRDefault="00B37B99"/>
  <w:p w14:paraId="4EBFA383" w14:textId="77777777" w:rsidR="00B37B99" w:rsidRDefault="00B37B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7820" w14:textId="4223BFE7" w:rsidR="00CC347F" w:rsidRDefault="00CC347F">
    <w:pPr>
      <w:pStyle w:val="Header"/>
    </w:pPr>
    <w:r>
      <w:t>Org SB 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0D2E86"/>
    <w:rsid w:val="0010070F"/>
    <w:rsid w:val="0015112E"/>
    <w:rsid w:val="001552E7"/>
    <w:rsid w:val="001566B4"/>
    <w:rsid w:val="0016059D"/>
    <w:rsid w:val="001C279E"/>
    <w:rsid w:val="001D459E"/>
    <w:rsid w:val="0027011C"/>
    <w:rsid w:val="00274200"/>
    <w:rsid w:val="00275740"/>
    <w:rsid w:val="002A0269"/>
    <w:rsid w:val="00303684"/>
    <w:rsid w:val="00310EA7"/>
    <w:rsid w:val="003143F5"/>
    <w:rsid w:val="00314854"/>
    <w:rsid w:val="003B48FB"/>
    <w:rsid w:val="003C51CD"/>
    <w:rsid w:val="004247A2"/>
    <w:rsid w:val="00470D6E"/>
    <w:rsid w:val="004B2795"/>
    <w:rsid w:val="004C13DD"/>
    <w:rsid w:val="004E3441"/>
    <w:rsid w:val="00551C13"/>
    <w:rsid w:val="005A5366"/>
    <w:rsid w:val="0062229A"/>
    <w:rsid w:val="00637E73"/>
    <w:rsid w:val="006865E9"/>
    <w:rsid w:val="00691F3E"/>
    <w:rsid w:val="00694BFB"/>
    <w:rsid w:val="006A106B"/>
    <w:rsid w:val="006C523D"/>
    <w:rsid w:val="006D1D2E"/>
    <w:rsid w:val="006D4036"/>
    <w:rsid w:val="00704CB3"/>
    <w:rsid w:val="007C2B4B"/>
    <w:rsid w:val="007E02CF"/>
    <w:rsid w:val="007F1CF5"/>
    <w:rsid w:val="00834EDE"/>
    <w:rsid w:val="008736AA"/>
    <w:rsid w:val="008D275D"/>
    <w:rsid w:val="00974F15"/>
    <w:rsid w:val="00980327"/>
    <w:rsid w:val="009F1067"/>
    <w:rsid w:val="00A31E01"/>
    <w:rsid w:val="00A527AD"/>
    <w:rsid w:val="00A718CF"/>
    <w:rsid w:val="00A760BE"/>
    <w:rsid w:val="00AE44D3"/>
    <w:rsid w:val="00AE48A0"/>
    <w:rsid w:val="00AE61BE"/>
    <w:rsid w:val="00B16F25"/>
    <w:rsid w:val="00B24422"/>
    <w:rsid w:val="00B37B99"/>
    <w:rsid w:val="00B658B6"/>
    <w:rsid w:val="00B80C20"/>
    <w:rsid w:val="00B844FE"/>
    <w:rsid w:val="00BC562B"/>
    <w:rsid w:val="00C33014"/>
    <w:rsid w:val="00C33434"/>
    <w:rsid w:val="00C34869"/>
    <w:rsid w:val="00C42EB6"/>
    <w:rsid w:val="00C85096"/>
    <w:rsid w:val="00CB20EF"/>
    <w:rsid w:val="00CC347F"/>
    <w:rsid w:val="00CC792A"/>
    <w:rsid w:val="00CD12CB"/>
    <w:rsid w:val="00CD2D63"/>
    <w:rsid w:val="00CD36CF"/>
    <w:rsid w:val="00CF1DCA"/>
    <w:rsid w:val="00D579FC"/>
    <w:rsid w:val="00DE526B"/>
    <w:rsid w:val="00DF199D"/>
    <w:rsid w:val="00E01542"/>
    <w:rsid w:val="00E365F1"/>
    <w:rsid w:val="00E379D8"/>
    <w:rsid w:val="00E45083"/>
    <w:rsid w:val="00E62F48"/>
    <w:rsid w:val="00E831B3"/>
    <w:rsid w:val="00EE70CB"/>
    <w:rsid w:val="00F23775"/>
    <w:rsid w:val="00F33EFF"/>
    <w:rsid w:val="00F35C12"/>
    <w:rsid w:val="00F37F5C"/>
    <w:rsid w:val="00F41CA2"/>
    <w:rsid w:val="00F443C0"/>
    <w:rsid w:val="00F62EFB"/>
    <w:rsid w:val="00F939A4"/>
    <w:rsid w:val="00FA7B09"/>
    <w:rsid w:val="00FB3EB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9A2AC"/>
  <w15:chartTrackingRefBased/>
  <w15:docId w15:val="{06954DFD-29CE-49ED-88AE-314541B3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styleId="PageNumber">
    <w:name w:val="page number"/>
    <w:basedOn w:val="DefaultParagraphFont"/>
    <w:uiPriority w:val="99"/>
    <w:semiHidden/>
    <w:unhideWhenUsed/>
    <w:locked/>
    <w:rsid w:val="00B3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2B02A3"/>
    <w:rsid w:val="003F3625"/>
    <w:rsid w:val="00830936"/>
    <w:rsid w:val="00A56516"/>
    <w:rsid w:val="00A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2021-03-24T14:28:00Z</cp:lastPrinted>
  <dcterms:created xsi:type="dcterms:W3CDTF">2021-03-24T12:10:00Z</dcterms:created>
  <dcterms:modified xsi:type="dcterms:W3CDTF">2021-03-24T14:53:00Z</dcterms:modified>
</cp:coreProperties>
</file>